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9B49ED">
      <w:pPr>
        <w:jc w:val="center"/>
        <w:rPr>
          <w:rFonts w:hint="eastAsia" w:ascii="仿宋" w:hAnsi="仿宋" w:eastAsia="仿宋" w:cs="仿宋"/>
          <w:sz w:val="44"/>
          <w:szCs w:val="44"/>
        </w:rPr>
      </w:pPr>
      <w:r>
        <w:rPr>
          <w:rFonts w:hint="eastAsia" w:ascii="仿宋" w:hAnsi="仿宋" w:eastAsia="仿宋" w:cs="仿宋"/>
          <w:sz w:val="44"/>
          <w:szCs w:val="44"/>
          <w:lang w:val="en-US" w:eastAsia="zh-CN"/>
        </w:rPr>
        <w:t>采购报价</w:t>
      </w:r>
      <w:r>
        <w:rPr>
          <w:rFonts w:hint="eastAsia" w:ascii="仿宋" w:hAnsi="仿宋" w:eastAsia="仿宋" w:cs="仿宋"/>
          <w:sz w:val="44"/>
          <w:szCs w:val="44"/>
        </w:rPr>
        <w:t>函</w:t>
      </w:r>
    </w:p>
    <w:p w14:paraId="58DD13A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lang w:eastAsia="zh-CN"/>
        </w:rPr>
      </w:pPr>
      <w:r>
        <w:rPr>
          <w:u w:val="single"/>
        </w:rPr>
        <w:tab/>
      </w:r>
      <w:r>
        <w:rPr>
          <w:rFonts w:hint="eastAsia" w:eastAsia="宋体"/>
          <w:u w:val="single"/>
          <w:lang w:val="en-US" w:eastAsia="zh-CN"/>
        </w:rPr>
        <w:t xml:space="preserve">                </w:t>
      </w:r>
      <w:r>
        <w:rPr>
          <w:rFonts w:hint="eastAsia" w:ascii="仿宋" w:hAnsi="仿宋" w:eastAsia="仿宋" w:cs="仿宋"/>
          <w:sz w:val="32"/>
          <w:szCs w:val="32"/>
        </w:rPr>
        <w:t>公司</w:t>
      </w:r>
      <w:r>
        <w:rPr>
          <w:rFonts w:hint="eastAsia" w:ascii="仿宋" w:hAnsi="仿宋" w:eastAsia="仿宋" w:cs="仿宋"/>
          <w:sz w:val="32"/>
          <w:szCs w:val="32"/>
          <w:lang w:eastAsia="zh-CN"/>
        </w:rPr>
        <w:t>：</w:t>
      </w:r>
    </w:p>
    <w:p w14:paraId="66F44277">
      <w:pPr>
        <w:keepNext w:val="0"/>
        <w:keepLines w:val="0"/>
        <w:pageBreakBefore w:val="0"/>
        <w:widowControl w:val="0"/>
        <w:kinsoku/>
        <w:wordWrap/>
        <w:overflowPunct/>
        <w:topLinePunct w:val="0"/>
        <w:autoSpaceDE/>
        <w:autoSpaceDN/>
        <w:bidi w:val="0"/>
        <w:adjustRightInd/>
        <w:snapToGrid/>
        <w:spacing w:line="44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请贵公司对</w:t>
      </w:r>
      <w:r>
        <w:rPr>
          <w:rFonts w:hint="eastAsia" w:ascii="仿宋" w:hAnsi="仿宋" w:eastAsia="仿宋" w:cs="仿宋"/>
          <w:sz w:val="30"/>
          <w:szCs w:val="30"/>
          <w:lang w:val="en-US" w:eastAsia="zh-CN"/>
        </w:rPr>
        <w:t>下</w:t>
      </w:r>
      <w:r>
        <w:rPr>
          <w:rFonts w:hint="eastAsia" w:ascii="仿宋" w:hAnsi="仿宋" w:eastAsia="仿宋" w:cs="仿宋"/>
          <w:sz w:val="30"/>
          <w:szCs w:val="30"/>
        </w:rPr>
        <w:t>表的内容给子报价，并请于</w:t>
      </w:r>
      <w:r>
        <w:rPr>
          <w:rFonts w:hint="eastAsia" w:ascii="仿宋" w:hAnsi="仿宋" w:eastAsia="仿宋" w:cs="仿宋"/>
          <w:sz w:val="30"/>
          <w:szCs w:val="30"/>
          <w:lang w:val="en-US" w:eastAsia="zh-CN"/>
        </w:rPr>
        <w:t>2025</w:t>
      </w:r>
      <w:r>
        <w:rPr>
          <w:rFonts w:hint="eastAsia" w:ascii="仿宋" w:hAnsi="仿宋" w:eastAsia="仿宋" w:cs="仿宋"/>
          <w:sz w:val="30"/>
          <w:szCs w:val="30"/>
        </w:rPr>
        <w:t>年</w:t>
      </w:r>
      <w:r>
        <w:rPr>
          <w:rFonts w:hint="eastAsia" w:ascii="仿宋" w:hAnsi="仿宋" w:eastAsia="仿宋" w:cs="仿宋"/>
          <w:sz w:val="30"/>
          <w:szCs w:val="30"/>
          <w:lang w:val="en-US" w:eastAsia="zh-CN"/>
        </w:rPr>
        <w:t>9</w:t>
      </w:r>
      <w:r>
        <w:rPr>
          <w:rFonts w:hint="eastAsia" w:ascii="仿宋" w:hAnsi="仿宋" w:eastAsia="仿宋" w:cs="仿宋"/>
          <w:sz w:val="30"/>
          <w:szCs w:val="30"/>
        </w:rPr>
        <w:t>月</w:t>
      </w:r>
      <w:r>
        <w:rPr>
          <w:rFonts w:hint="eastAsia" w:ascii="仿宋" w:hAnsi="仿宋" w:eastAsia="仿宋" w:cs="仿宋"/>
          <w:sz w:val="30"/>
          <w:szCs w:val="30"/>
          <w:lang w:val="en-US" w:eastAsia="zh-CN"/>
        </w:rPr>
        <w:t>21日09：00-10：00前</w:t>
      </w:r>
      <w:r>
        <w:rPr>
          <w:rFonts w:hint="eastAsia" w:ascii="仿宋" w:hAnsi="仿宋" w:eastAsia="仿宋" w:cs="仿宋"/>
          <w:sz w:val="30"/>
          <w:szCs w:val="30"/>
        </w:rPr>
        <w:t>将所报价格及相关资料</w:t>
      </w:r>
      <w:r>
        <w:rPr>
          <w:rFonts w:hint="eastAsia" w:ascii="仿宋" w:hAnsi="仿宋" w:eastAsia="仿宋" w:cs="仿宋"/>
          <w:sz w:val="30"/>
          <w:szCs w:val="30"/>
          <w:lang w:val="en-US" w:eastAsia="zh-CN"/>
        </w:rPr>
        <w:t>送到邢台现代职业学校</w:t>
      </w:r>
      <w:r>
        <w:rPr>
          <w:rFonts w:hint="eastAsia" w:ascii="仿宋" w:hAnsi="仿宋" w:eastAsia="仿宋" w:cs="仿宋"/>
          <w:sz w:val="30"/>
          <w:szCs w:val="30"/>
          <w:u w:val="single"/>
          <w:lang w:val="en-US" w:eastAsia="zh-CN"/>
        </w:rPr>
        <w:t xml:space="preserve"> 服务中心  </w:t>
      </w:r>
      <w:r>
        <w:rPr>
          <w:rFonts w:hint="eastAsia" w:ascii="仿宋" w:hAnsi="仿宋" w:eastAsia="仿宋" w:cs="仿宋"/>
          <w:sz w:val="30"/>
          <w:szCs w:val="30"/>
          <w:lang w:val="en-US" w:eastAsia="zh-CN"/>
        </w:rPr>
        <w:t>（东区2楼216室）</w:t>
      </w:r>
      <w:r>
        <w:rPr>
          <w:rFonts w:hint="eastAsia" w:ascii="仿宋" w:hAnsi="仿宋" w:eastAsia="仿宋" w:cs="仿宋"/>
          <w:sz w:val="30"/>
          <w:szCs w:val="30"/>
        </w:rPr>
        <w:t>，逾期</w:t>
      </w:r>
      <w:r>
        <w:rPr>
          <w:rFonts w:hint="eastAsia" w:ascii="仿宋" w:hAnsi="仿宋" w:eastAsia="仿宋" w:cs="仿宋"/>
          <w:sz w:val="30"/>
          <w:szCs w:val="30"/>
          <w:lang w:val="en-US" w:eastAsia="zh-CN"/>
        </w:rPr>
        <w:t>未送到</w:t>
      </w:r>
      <w:r>
        <w:rPr>
          <w:rFonts w:hint="eastAsia" w:ascii="仿宋" w:hAnsi="仿宋" w:eastAsia="仿宋" w:cs="仿宋"/>
          <w:sz w:val="30"/>
          <w:szCs w:val="30"/>
        </w:rPr>
        <w:t>，属自动弃权。</w:t>
      </w:r>
    </w:p>
    <w:p w14:paraId="157E3C53">
      <w:pPr>
        <w:keepNext w:val="0"/>
        <w:keepLines w:val="0"/>
        <w:pageBreakBefore w:val="0"/>
        <w:widowControl w:val="0"/>
        <w:kinsoku/>
        <w:wordWrap/>
        <w:overflowPunct/>
        <w:topLinePunct w:val="0"/>
        <w:autoSpaceDE/>
        <w:autoSpaceDN/>
        <w:bidi w:val="0"/>
        <w:adjustRightInd/>
        <w:snapToGrid/>
        <w:spacing w:line="480" w:lineRule="exact"/>
        <w:ind w:firstLine="600" w:firstLineChars="200"/>
        <w:jc w:val="both"/>
        <w:textAlignment w:val="auto"/>
        <w:rPr>
          <w:rFonts w:hint="eastAsia" w:eastAsia="宋体"/>
          <w:sz w:val="32"/>
          <w:szCs w:val="32"/>
          <w:lang w:eastAsia="zh-CN"/>
        </w:rPr>
      </w:pPr>
      <w:r>
        <w:rPr>
          <w:rFonts w:hint="eastAsia" w:ascii="仿宋" w:hAnsi="仿宋" w:eastAsia="仿宋" w:cs="仿宋"/>
          <w:sz w:val="30"/>
          <w:szCs w:val="30"/>
        </w:rPr>
        <w:tab/>
      </w:r>
      <w:r>
        <w:rPr>
          <w:rFonts w:hint="eastAsia" w:ascii="仿宋" w:hAnsi="仿宋" w:eastAsia="仿宋" w:cs="仿宋"/>
          <w:sz w:val="30"/>
          <w:szCs w:val="30"/>
          <w:lang w:val="en-US" w:eastAsia="zh-CN"/>
        </w:rPr>
        <w:t xml:space="preserve">                      </w:t>
      </w:r>
      <w:r>
        <w:rPr>
          <w:rFonts w:hint="eastAsia" w:ascii="仿宋" w:hAnsi="仿宋" w:eastAsia="仿宋" w:cs="仿宋"/>
          <w:color w:val="000000"/>
          <w:spacing w:val="0"/>
          <w:w w:val="100"/>
          <w:position w:val="0"/>
          <w:sz w:val="32"/>
          <w:szCs w:val="32"/>
          <w:shd w:val="clear" w:color="auto" w:fill="auto"/>
          <w:lang w:val="en-US" w:eastAsia="zh-CN"/>
        </w:rPr>
        <w:t>报价</w:t>
      </w:r>
      <w:r>
        <w:rPr>
          <w:rFonts w:hint="eastAsia" w:ascii="仿宋" w:hAnsi="仿宋" w:eastAsia="仿宋" w:cs="仿宋"/>
          <w:color w:val="000000"/>
          <w:spacing w:val="0"/>
          <w:w w:val="100"/>
          <w:position w:val="0"/>
          <w:sz w:val="32"/>
          <w:szCs w:val="32"/>
          <w:shd w:val="clear" w:color="auto" w:fill="auto"/>
        </w:rPr>
        <w:t>表</w:t>
      </w:r>
    </w:p>
    <w:tbl>
      <w:tblPr>
        <w:tblStyle w:val="4"/>
        <w:tblW w:w="0" w:type="auto"/>
        <w:jc w:val="center"/>
        <w:tblLayout w:type="fixed"/>
        <w:tblCellMar>
          <w:top w:w="0" w:type="dxa"/>
          <w:left w:w="10" w:type="dxa"/>
          <w:bottom w:w="0" w:type="dxa"/>
          <w:right w:w="10" w:type="dxa"/>
        </w:tblCellMar>
      </w:tblPr>
      <w:tblGrid>
        <w:gridCol w:w="1827"/>
        <w:gridCol w:w="2292"/>
        <w:gridCol w:w="1032"/>
        <w:gridCol w:w="1236"/>
        <w:gridCol w:w="1164"/>
      </w:tblGrid>
      <w:tr w14:paraId="0727245B">
        <w:tblPrEx>
          <w:tblCellMar>
            <w:top w:w="0" w:type="dxa"/>
            <w:left w:w="10" w:type="dxa"/>
            <w:bottom w:w="0" w:type="dxa"/>
            <w:right w:w="10" w:type="dxa"/>
          </w:tblCellMar>
        </w:tblPrEx>
        <w:trPr>
          <w:trHeight w:val="906" w:hRule="exact"/>
          <w:jc w:val="center"/>
        </w:trPr>
        <w:tc>
          <w:tcPr>
            <w:tcW w:w="1827" w:type="dxa"/>
            <w:tcBorders>
              <w:top w:val="single" w:color="auto" w:sz="4" w:space="0"/>
              <w:left w:val="single" w:color="auto" w:sz="4" w:space="0"/>
            </w:tcBorders>
            <w:shd w:val="clear" w:color="auto" w:fill="FFFFFF"/>
            <w:vAlign w:val="center"/>
          </w:tcPr>
          <w:p w14:paraId="22D58A1D">
            <w:pPr>
              <w:pStyle w:val="8"/>
              <w:keepNext w:val="0"/>
              <w:keepLines w:val="0"/>
              <w:widowControl w:val="0"/>
              <w:shd w:val="clear" w:color="auto" w:fill="auto"/>
              <w:bidi w:val="0"/>
              <w:spacing w:before="0" w:after="0" w:line="240" w:lineRule="auto"/>
              <w:ind w:left="0" w:right="0" w:firstLine="280"/>
              <w:jc w:val="left"/>
              <w:rPr>
                <w:sz w:val="24"/>
                <w:szCs w:val="24"/>
              </w:rPr>
            </w:pPr>
            <w:r>
              <w:rPr>
                <w:color w:val="000000"/>
                <w:spacing w:val="0"/>
                <w:w w:val="100"/>
                <w:position w:val="0"/>
                <w:sz w:val="24"/>
                <w:szCs w:val="24"/>
                <w:shd w:val="clear" w:color="auto" w:fill="auto"/>
              </w:rPr>
              <w:t>采购项目名称</w:t>
            </w:r>
          </w:p>
        </w:tc>
        <w:tc>
          <w:tcPr>
            <w:tcW w:w="2292" w:type="dxa"/>
            <w:tcBorders>
              <w:top w:val="single" w:color="auto" w:sz="4" w:space="0"/>
              <w:left w:val="single" w:color="auto" w:sz="4" w:space="0"/>
            </w:tcBorders>
            <w:shd w:val="clear" w:color="auto" w:fill="FFFFFF"/>
            <w:vAlign w:val="center"/>
          </w:tcPr>
          <w:p w14:paraId="00A14F1E">
            <w:pPr>
              <w:pStyle w:val="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rPr>
              <w:t>规格</w:t>
            </w:r>
            <w:r>
              <w:rPr>
                <w:rFonts w:hint="eastAsia" w:eastAsia="宋体"/>
                <w:color w:val="000000"/>
                <w:spacing w:val="0"/>
                <w:w w:val="100"/>
                <w:position w:val="0"/>
                <w:sz w:val="24"/>
                <w:szCs w:val="24"/>
                <w:shd w:val="clear" w:color="auto" w:fill="auto"/>
                <w:lang w:eastAsia="zh-CN"/>
              </w:rPr>
              <w:t>、</w:t>
            </w:r>
            <w:r>
              <w:rPr>
                <w:rFonts w:hint="eastAsia" w:eastAsia="宋体"/>
                <w:color w:val="000000"/>
                <w:spacing w:val="0"/>
                <w:w w:val="100"/>
                <w:position w:val="0"/>
                <w:sz w:val="24"/>
                <w:szCs w:val="24"/>
                <w:shd w:val="clear" w:color="auto" w:fill="auto"/>
                <w:lang w:val="en-US" w:eastAsia="zh-CN"/>
              </w:rPr>
              <w:t>技术指标参数</w:t>
            </w:r>
            <w:r>
              <w:rPr>
                <w:color w:val="000000"/>
                <w:spacing w:val="0"/>
                <w:w w:val="100"/>
                <w:position w:val="0"/>
                <w:sz w:val="24"/>
                <w:szCs w:val="24"/>
                <w:shd w:val="clear" w:color="auto" w:fill="auto"/>
              </w:rPr>
              <w:t>要求</w:t>
            </w:r>
          </w:p>
        </w:tc>
        <w:tc>
          <w:tcPr>
            <w:tcW w:w="1032" w:type="dxa"/>
            <w:tcBorders>
              <w:top w:val="single" w:color="auto" w:sz="4" w:space="0"/>
              <w:left w:val="single" w:color="auto" w:sz="4" w:space="0"/>
            </w:tcBorders>
            <w:shd w:val="clear" w:color="auto" w:fill="FFFFFF"/>
            <w:vAlign w:val="center"/>
          </w:tcPr>
          <w:p w14:paraId="16CCE4E2">
            <w:pPr>
              <w:pStyle w:val="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rPr>
              <w:t>数量</w:t>
            </w:r>
          </w:p>
        </w:tc>
        <w:tc>
          <w:tcPr>
            <w:tcW w:w="1236" w:type="dxa"/>
            <w:tcBorders>
              <w:top w:val="single" w:color="auto" w:sz="4" w:space="0"/>
              <w:left w:val="single" w:color="auto" w:sz="4" w:space="0"/>
            </w:tcBorders>
            <w:shd w:val="clear" w:color="auto" w:fill="FFFFFF"/>
            <w:vAlign w:val="center"/>
          </w:tcPr>
          <w:p w14:paraId="29A49492">
            <w:pPr>
              <w:pStyle w:val="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rPr>
              <w:t>单价</w:t>
            </w:r>
          </w:p>
        </w:tc>
        <w:tc>
          <w:tcPr>
            <w:tcW w:w="1164" w:type="dxa"/>
            <w:tcBorders>
              <w:top w:val="single" w:color="auto" w:sz="4" w:space="0"/>
              <w:left w:val="single" w:color="auto" w:sz="4" w:space="0"/>
              <w:right w:val="single" w:color="auto" w:sz="4" w:space="0"/>
            </w:tcBorders>
            <w:shd w:val="clear" w:color="auto" w:fill="FFFFFF"/>
            <w:vAlign w:val="center"/>
          </w:tcPr>
          <w:p w14:paraId="599ED4CE">
            <w:pPr>
              <w:pStyle w:val="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rPr>
              <w:t>合计</w:t>
            </w:r>
          </w:p>
        </w:tc>
      </w:tr>
      <w:tr w14:paraId="440768AC">
        <w:tblPrEx>
          <w:tblCellMar>
            <w:top w:w="0" w:type="dxa"/>
            <w:left w:w="10" w:type="dxa"/>
            <w:bottom w:w="0" w:type="dxa"/>
            <w:right w:w="10" w:type="dxa"/>
          </w:tblCellMar>
        </w:tblPrEx>
        <w:trPr>
          <w:trHeight w:val="655" w:hRule="exact"/>
          <w:jc w:val="center"/>
        </w:trPr>
        <w:tc>
          <w:tcPr>
            <w:tcW w:w="1827" w:type="dxa"/>
            <w:tcBorders>
              <w:top w:val="single" w:color="auto" w:sz="4" w:space="0"/>
              <w:left w:val="single" w:color="auto" w:sz="4" w:space="0"/>
            </w:tcBorders>
            <w:shd w:val="clear" w:color="auto" w:fill="FFFFFF"/>
            <w:vAlign w:val="top"/>
          </w:tcPr>
          <w:p w14:paraId="03132BA0">
            <w:pPr>
              <w:widowControl w:val="0"/>
              <w:rPr>
                <w:sz w:val="10"/>
                <w:szCs w:val="10"/>
              </w:rPr>
            </w:pPr>
          </w:p>
        </w:tc>
        <w:tc>
          <w:tcPr>
            <w:tcW w:w="2292" w:type="dxa"/>
            <w:tcBorders>
              <w:top w:val="single" w:color="auto" w:sz="4" w:space="0"/>
              <w:left w:val="single" w:color="auto" w:sz="4" w:space="0"/>
            </w:tcBorders>
            <w:shd w:val="clear" w:color="auto" w:fill="FFFFFF"/>
            <w:vAlign w:val="top"/>
          </w:tcPr>
          <w:p w14:paraId="6BC49427">
            <w:pPr>
              <w:widowControl w:val="0"/>
              <w:rPr>
                <w:sz w:val="10"/>
                <w:szCs w:val="10"/>
              </w:rPr>
            </w:pPr>
          </w:p>
        </w:tc>
        <w:tc>
          <w:tcPr>
            <w:tcW w:w="1032" w:type="dxa"/>
            <w:tcBorders>
              <w:top w:val="single" w:color="auto" w:sz="4" w:space="0"/>
              <w:left w:val="single" w:color="auto" w:sz="4" w:space="0"/>
            </w:tcBorders>
            <w:shd w:val="clear" w:color="auto" w:fill="FFFFFF"/>
            <w:vAlign w:val="top"/>
          </w:tcPr>
          <w:p w14:paraId="38C9F943">
            <w:pPr>
              <w:widowControl w:val="0"/>
              <w:rPr>
                <w:sz w:val="10"/>
                <w:szCs w:val="10"/>
              </w:rPr>
            </w:pPr>
          </w:p>
        </w:tc>
        <w:tc>
          <w:tcPr>
            <w:tcW w:w="1236" w:type="dxa"/>
            <w:tcBorders>
              <w:top w:val="single" w:color="auto" w:sz="4" w:space="0"/>
              <w:left w:val="single" w:color="auto" w:sz="4" w:space="0"/>
            </w:tcBorders>
            <w:shd w:val="clear" w:color="auto" w:fill="FFFFFF"/>
            <w:vAlign w:val="top"/>
          </w:tcPr>
          <w:p w14:paraId="79A1C439">
            <w:pPr>
              <w:widowControl w:val="0"/>
              <w:rPr>
                <w:sz w:val="10"/>
                <w:szCs w:val="10"/>
              </w:rPr>
            </w:pPr>
          </w:p>
        </w:tc>
        <w:tc>
          <w:tcPr>
            <w:tcW w:w="1164" w:type="dxa"/>
            <w:tcBorders>
              <w:top w:val="single" w:color="auto" w:sz="4" w:space="0"/>
              <w:left w:val="single" w:color="auto" w:sz="4" w:space="0"/>
              <w:right w:val="single" w:color="auto" w:sz="4" w:space="0"/>
            </w:tcBorders>
            <w:shd w:val="clear" w:color="auto" w:fill="FFFFFF"/>
            <w:vAlign w:val="top"/>
          </w:tcPr>
          <w:p w14:paraId="63CBC743">
            <w:pPr>
              <w:widowControl w:val="0"/>
              <w:rPr>
                <w:sz w:val="10"/>
                <w:szCs w:val="10"/>
              </w:rPr>
            </w:pPr>
          </w:p>
        </w:tc>
      </w:tr>
      <w:tr w14:paraId="720E832C">
        <w:tblPrEx>
          <w:tblCellMar>
            <w:top w:w="0" w:type="dxa"/>
            <w:left w:w="10" w:type="dxa"/>
            <w:bottom w:w="0" w:type="dxa"/>
            <w:right w:w="10" w:type="dxa"/>
          </w:tblCellMar>
        </w:tblPrEx>
        <w:trPr>
          <w:trHeight w:val="636" w:hRule="exact"/>
          <w:jc w:val="center"/>
        </w:trPr>
        <w:tc>
          <w:tcPr>
            <w:tcW w:w="1827" w:type="dxa"/>
            <w:tcBorders>
              <w:top w:val="single" w:color="auto" w:sz="4" w:space="0"/>
              <w:left w:val="single" w:color="auto" w:sz="4" w:space="0"/>
            </w:tcBorders>
            <w:shd w:val="clear" w:color="auto" w:fill="FFFFFF"/>
            <w:vAlign w:val="top"/>
          </w:tcPr>
          <w:p w14:paraId="43B03CFD">
            <w:pPr>
              <w:widowControl w:val="0"/>
              <w:rPr>
                <w:sz w:val="10"/>
                <w:szCs w:val="10"/>
              </w:rPr>
            </w:pPr>
          </w:p>
        </w:tc>
        <w:tc>
          <w:tcPr>
            <w:tcW w:w="2292" w:type="dxa"/>
            <w:tcBorders>
              <w:top w:val="single" w:color="auto" w:sz="4" w:space="0"/>
              <w:left w:val="single" w:color="auto" w:sz="4" w:space="0"/>
            </w:tcBorders>
            <w:shd w:val="clear" w:color="auto" w:fill="FFFFFF"/>
            <w:vAlign w:val="top"/>
          </w:tcPr>
          <w:p w14:paraId="12BF2983">
            <w:pPr>
              <w:widowControl w:val="0"/>
              <w:rPr>
                <w:sz w:val="10"/>
                <w:szCs w:val="10"/>
              </w:rPr>
            </w:pPr>
          </w:p>
        </w:tc>
        <w:tc>
          <w:tcPr>
            <w:tcW w:w="1032" w:type="dxa"/>
            <w:tcBorders>
              <w:top w:val="single" w:color="auto" w:sz="4" w:space="0"/>
              <w:left w:val="single" w:color="auto" w:sz="4" w:space="0"/>
            </w:tcBorders>
            <w:shd w:val="clear" w:color="auto" w:fill="FFFFFF"/>
            <w:vAlign w:val="top"/>
          </w:tcPr>
          <w:p w14:paraId="17F7129D">
            <w:pPr>
              <w:widowControl w:val="0"/>
              <w:rPr>
                <w:sz w:val="10"/>
                <w:szCs w:val="10"/>
              </w:rPr>
            </w:pPr>
          </w:p>
        </w:tc>
        <w:tc>
          <w:tcPr>
            <w:tcW w:w="1236" w:type="dxa"/>
            <w:tcBorders>
              <w:top w:val="single" w:color="auto" w:sz="4" w:space="0"/>
              <w:left w:val="single" w:color="auto" w:sz="4" w:space="0"/>
            </w:tcBorders>
            <w:shd w:val="clear" w:color="auto" w:fill="FFFFFF"/>
            <w:vAlign w:val="top"/>
          </w:tcPr>
          <w:p w14:paraId="16441854">
            <w:pPr>
              <w:widowControl w:val="0"/>
              <w:rPr>
                <w:sz w:val="10"/>
                <w:szCs w:val="10"/>
              </w:rPr>
            </w:pPr>
          </w:p>
        </w:tc>
        <w:tc>
          <w:tcPr>
            <w:tcW w:w="1164" w:type="dxa"/>
            <w:tcBorders>
              <w:top w:val="single" w:color="auto" w:sz="4" w:space="0"/>
              <w:left w:val="single" w:color="auto" w:sz="4" w:space="0"/>
              <w:right w:val="single" w:color="auto" w:sz="4" w:space="0"/>
            </w:tcBorders>
            <w:shd w:val="clear" w:color="auto" w:fill="FFFFFF"/>
            <w:vAlign w:val="top"/>
          </w:tcPr>
          <w:p w14:paraId="7979F461">
            <w:pPr>
              <w:widowControl w:val="0"/>
              <w:rPr>
                <w:sz w:val="10"/>
                <w:szCs w:val="10"/>
              </w:rPr>
            </w:pPr>
          </w:p>
        </w:tc>
      </w:tr>
      <w:tr w14:paraId="07932A5C">
        <w:tblPrEx>
          <w:tblCellMar>
            <w:top w:w="0" w:type="dxa"/>
            <w:left w:w="10" w:type="dxa"/>
            <w:bottom w:w="0" w:type="dxa"/>
            <w:right w:w="10" w:type="dxa"/>
          </w:tblCellMar>
        </w:tblPrEx>
        <w:trPr>
          <w:trHeight w:val="626" w:hRule="exact"/>
          <w:jc w:val="center"/>
        </w:trPr>
        <w:tc>
          <w:tcPr>
            <w:tcW w:w="1827" w:type="dxa"/>
            <w:tcBorders>
              <w:top w:val="single" w:color="auto" w:sz="4" w:space="0"/>
              <w:left w:val="single" w:color="auto" w:sz="4" w:space="0"/>
            </w:tcBorders>
            <w:shd w:val="clear" w:color="auto" w:fill="FFFFFF"/>
            <w:vAlign w:val="top"/>
          </w:tcPr>
          <w:p w14:paraId="72B888CF">
            <w:pPr>
              <w:widowControl w:val="0"/>
              <w:rPr>
                <w:sz w:val="10"/>
                <w:szCs w:val="10"/>
              </w:rPr>
            </w:pPr>
          </w:p>
        </w:tc>
        <w:tc>
          <w:tcPr>
            <w:tcW w:w="2292" w:type="dxa"/>
            <w:tcBorders>
              <w:top w:val="single" w:color="auto" w:sz="4" w:space="0"/>
              <w:left w:val="single" w:color="auto" w:sz="4" w:space="0"/>
            </w:tcBorders>
            <w:shd w:val="clear" w:color="auto" w:fill="FFFFFF"/>
            <w:vAlign w:val="top"/>
          </w:tcPr>
          <w:p w14:paraId="5433ADD5">
            <w:pPr>
              <w:widowControl w:val="0"/>
              <w:rPr>
                <w:sz w:val="10"/>
                <w:szCs w:val="10"/>
              </w:rPr>
            </w:pPr>
          </w:p>
        </w:tc>
        <w:tc>
          <w:tcPr>
            <w:tcW w:w="1032" w:type="dxa"/>
            <w:tcBorders>
              <w:top w:val="single" w:color="auto" w:sz="4" w:space="0"/>
              <w:left w:val="single" w:color="auto" w:sz="4" w:space="0"/>
            </w:tcBorders>
            <w:shd w:val="clear" w:color="auto" w:fill="FFFFFF"/>
            <w:vAlign w:val="top"/>
          </w:tcPr>
          <w:p w14:paraId="7869A3DB">
            <w:pPr>
              <w:widowControl w:val="0"/>
              <w:rPr>
                <w:sz w:val="10"/>
                <w:szCs w:val="10"/>
              </w:rPr>
            </w:pPr>
          </w:p>
        </w:tc>
        <w:tc>
          <w:tcPr>
            <w:tcW w:w="1236" w:type="dxa"/>
            <w:tcBorders>
              <w:top w:val="single" w:color="auto" w:sz="4" w:space="0"/>
              <w:left w:val="single" w:color="auto" w:sz="4" w:space="0"/>
            </w:tcBorders>
            <w:shd w:val="clear" w:color="auto" w:fill="FFFFFF"/>
            <w:vAlign w:val="top"/>
          </w:tcPr>
          <w:p w14:paraId="1D262AE3">
            <w:pPr>
              <w:widowControl w:val="0"/>
              <w:rPr>
                <w:sz w:val="10"/>
                <w:szCs w:val="10"/>
              </w:rPr>
            </w:pPr>
          </w:p>
        </w:tc>
        <w:tc>
          <w:tcPr>
            <w:tcW w:w="1164" w:type="dxa"/>
            <w:tcBorders>
              <w:top w:val="single" w:color="auto" w:sz="4" w:space="0"/>
              <w:left w:val="single" w:color="auto" w:sz="4" w:space="0"/>
              <w:right w:val="single" w:color="auto" w:sz="4" w:space="0"/>
            </w:tcBorders>
            <w:shd w:val="clear" w:color="auto" w:fill="FFFFFF"/>
            <w:vAlign w:val="top"/>
          </w:tcPr>
          <w:p w14:paraId="589248FC">
            <w:pPr>
              <w:widowControl w:val="0"/>
              <w:rPr>
                <w:sz w:val="10"/>
                <w:szCs w:val="10"/>
              </w:rPr>
            </w:pPr>
          </w:p>
        </w:tc>
      </w:tr>
      <w:tr w14:paraId="7C9D7860">
        <w:tblPrEx>
          <w:tblCellMar>
            <w:top w:w="0" w:type="dxa"/>
            <w:left w:w="10" w:type="dxa"/>
            <w:bottom w:w="0" w:type="dxa"/>
            <w:right w:w="10" w:type="dxa"/>
          </w:tblCellMar>
        </w:tblPrEx>
        <w:trPr>
          <w:trHeight w:val="626" w:hRule="exact"/>
          <w:jc w:val="center"/>
        </w:trPr>
        <w:tc>
          <w:tcPr>
            <w:tcW w:w="1827" w:type="dxa"/>
            <w:tcBorders>
              <w:top w:val="single" w:color="auto" w:sz="4" w:space="0"/>
              <w:left w:val="single" w:color="auto" w:sz="4" w:space="0"/>
            </w:tcBorders>
            <w:shd w:val="clear" w:color="auto" w:fill="FFFFFF"/>
            <w:vAlign w:val="top"/>
          </w:tcPr>
          <w:p w14:paraId="286B245D">
            <w:pPr>
              <w:widowControl w:val="0"/>
              <w:rPr>
                <w:sz w:val="10"/>
                <w:szCs w:val="10"/>
              </w:rPr>
            </w:pPr>
          </w:p>
        </w:tc>
        <w:tc>
          <w:tcPr>
            <w:tcW w:w="2292" w:type="dxa"/>
            <w:tcBorders>
              <w:top w:val="single" w:color="auto" w:sz="4" w:space="0"/>
              <w:left w:val="single" w:color="auto" w:sz="4" w:space="0"/>
            </w:tcBorders>
            <w:shd w:val="clear" w:color="auto" w:fill="FFFFFF"/>
            <w:vAlign w:val="top"/>
          </w:tcPr>
          <w:p w14:paraId="2285D4F3">
            <w:pPr>
              <w:widowControl w:val="0"/>
              <w:rPr>
                <w:sz w:val="10"/>
                <w:szCs w:val="10"/>
              </w:rPr>
            </w:pPr>
          </w:p>
        </w:tc>
        <w:tc>
          <w:tcPr>
            <w:tcW w:w="1032" w:type="dxa"/>
            <w:tcBorders>
              <w:top w:val="single" w:color="auto" w:sz="4" w:space="0"/>
              <w:left w:val="single" w:color="auto" w:sz="4" w:space="0"/>
            </w:tcBorders>
            <w:shd w:val="clear" w:color="auto" w:fill="FFFFFF"/>
            <w:vAlign w:val="top"/>
          </w:tcPr>
          <w:p w14:paraId="53F633F1">
            <w:pPr>
              <w:widowControl w:val="0"/>
              <w:rPr>
                <w:sz w:val="10"/>
                <w:szCs w:val="10"/>
              </w:rPr>
            </w:pPr>
          </w:p>
        </w:tc>
        <w:tc>
          <w:tcPr>
            <w:tcW w:w="1236" w:type="dxa"/>
            <w:tcBorders>
              <w:top w:val="single" w:color="auto" w:sz="4" w:space="0"/>
              <w:left w:val="single" w:color="auto" w:sz="4" w:space="0"/>
            </w:tcBorders>
            <w:shd w:val="clear" w:color="auto" w:fill="FFFFFF"/>
            <w:vAlign w:val="top"/>
          </w:tcPr>
          <w:p w14:paraId="6619D825">
            <w:pPr>
              <w:widowControl w:val="0"/>
              <w:rPr>
                <w:sz w:val="10"/>
                <w:szCs w:val="10"/>
              </w:rPr>
            </w:pPr>
          </w:p>
        </w:tc>
        <w:tc>
          <w:tcPr>
            <w:tcW w:w="1164" w:type="dxa"/>
            <w:tcBorders>
              <w:top w:val="single" w:color="auto" w:sz="4" w:space="0"/>
              <w:left w:val="single" w:color="auto" w:sz="4" w:space="0"/>
              <w:right w:val="single" w:color="auto" w:sz="4" w:space="0"/>
            </w:tcBorders>
            <w:shd w:val="clear" w:color="auto" w:fill="FFFFFF"/>
            <w:vAlign w:val="top"/>
          </w:tcPr>
          <w:p w14:paraId="0AB1E546">
            <w:pPr>
              <w:widowControl w:val="0"/>
              <w:rPr>
                <w:sz w:val="10"/>
                <w:szCs w:val="10"/>
              </w:rPr>
            </w:pPr>
          </w:p>
        </w:tc>
      </w:tr>
      <w:tr w14:paraId="30E2D721">
        <w:tblPrEx>
          <w:tblCellMar>
            <w:top w:w="0" w:type="dxa"/>
            <w:left w:w="10" w:type="dxa"/>
            <w:bottom w:w="0" w:type="dxa"/>
            <w:right w:w="10" w:type="dxa"/>
          </w:tblCellMar>
        </w:tblPrEx>
        <w:trPr>
          <w:trHeight w:val="626" w:hRule="exact"/>
          <w:jc w:val="center"/>
        </w:trPr>
        <w:tc>
          <w:tcPr>
            <w:tcW w:w="1827" w:type="dxa"/>
            <w:tcBorders>
              <w:top w:val="single" w:color="auto" w:sz="4" w:space="0"/>
              <w:left w:val="single" w:color="auto" w:sz="4" w:space="0"/>
              <w:bottom w:val="single" w:color="auto" w:sz="4" w:space="0"/>
            </w:tcBorders>
            <w:shd w:val="clear" w:color="auto" w:fill="FFFFFF"/>
            <w:vAlign w:val="bottom"/>
          </w:tcPr>
          <w:p w14:paraId="2C39A9E8">
            <w:pPr>
              <w:pStyle w:val="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shd w:val="clear" w:color="auto" w:fill="auto"/>
              </w:rPr>
              <w:t>总计</w:t>
            </w:r>
          </w:p>
        </w:tc>
        <w:tc>
          <w:tcPr>
            <w:tcW w:w="5724" w:type="dxa"/>
            <w:gridSpan w:val="4"/>
            <w:tcBorders>
              <w:top w:val="single" w:color="auto" w:sz="4" w:space="0"/>
              <w:left w:val="single" w:color="auto" w:sz="4" w:space="0"/>
              <w:bottom w:val="single" w:color="auto" w:sz="4" w:space="0"/>
              <w:right w:val="single" w:color="auto" w:sz="4" w:space="0"/>
            </w:tcBorders>
            <w:shd w:val="clear" w:color="auto" w:fill="FFFFFF"/>
            <w:vAlign w:val="bottom"/>
          </w:tcPr>
          <w:p w14:paraId="1E3891DA">
            <w:pPr>
              <w:pStyle w:val="8"/>
              <w:keepNext w:val="0"/>
              <w:keepLines w:val="0"/>
              <w:widowControl w:val="0"/>
              <w:shd w:val="clear" w:color="auto" w:fill="auto"/>
              <w:bidi w:val="0"/>
              <w:spacing w:before="0" w:after="0" w:line="240" w:lineRule="auto"/>
              <w:ind w:left="0" w:right="0" w:firstLine="0"/>
              <w:jc w:val="left"/>
              <w:rPr>
                <w:rFonts w:hint="default" w:eastAsia="宋体"/>
                <w:sz w:val="24"/>
                <w:szCs w:val="24"/>
                <w:lang w:val="en-US" w:eastAsia="zh-CN"/>
              </w:rPr>
            </w:pPr>
            <w:r>
              <w:rPr>
                <w:color w:val="000000"/>
                <w:spacing w:val="0"/>
                <w:w w:val="100"/>
                <w:position w:val="0"/>
                <w:sz w:val="24"/>
                <w:szCs w:val="24"/>
                <w:shd w:val="clear" w:color="auto" w:fill="auto"/>
              </w:rPr>
              <w:t>大写：</w:t>
            </w:r>
            <w:r>
              <w:rPr>
                <w:rFonts w:hint="eastAsia" w:eastAsia="宋体"/>
                <w:color w:val="000000"/>
                <w:spacing w:val="0"/>
                <w:w w:val="100"/>
                <w:position w:val="0"/>
                <w:sz w:val="24"/>
                <w:szCs w:val="24"/>
                <w:shd w:val="clear" w:color="auto" w:fill="auto"/>
                <w:lang w:val="en-US" w:eastAsia="zh-CN"/>
              </w:rPr>
              <w:t xml:space="preserve">                          小写：</w:t>
            </w:r>
          </w:p>
        </w:tc>
      </w:tr>
    </w:tbl>
    <w:p w14:paraId="76A1EA22">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40" w:lineRule="exact"/>
        <w:ind w:left="0" w:leftChars="0" w:right="0" w:firstLine="0" w:firstLineChars="0"/>
        <w:jc w:val="both"/>
        <w:textAlignment w:val="auto"/>
        <w:rPr>
          <w:rFonts w:hint="eastAsia" w:ascii="仿宋" w:hAnsi="仿宋" w:eastAsia="仿宋" w:cs="仿宋"/>
          <w:color w:val="000000"/>
          <w:spacing w:val="0"/>
          <w:w w:val="100"/>
          <w:position w:val="0"/>
          <w:sz w:val="28"/>
          <w:szCs w:val="28"/>
          <w:shd w:val="clear" w:color="auto" w:fill="auto"/>
        </w:rPr>
      </w:pPr>
    </w:p>
    <w:p w14:paraId="3371A0CC">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40" w:lineRule="exact"/>
        <w:ind w:left="0" w:leftChars="0" w:right="0" w:firstLine="0" w:firstLineChars="0"/>
        <w:jc w:val="both"/>
        <w:textAlignment w:val="auto"/>
        <w:rPr>
          <w:rFonts w:hint="eastAsia" w:ascii="仿宋" w:hAnsi="仿宋" w:eastAsia="仿宋" w:cs="仿宋"/>
          <w:color w:val="000000"/>
          <w:spacing w:val="0"/>
          <w:w w:val="100"/>
          <w:position w:val="0"/>
          <w:sz w:val="28"/>
          <w:szCs w:val="28"/>
          <w:shd w:val="clear" w:color="auto" w:fill="auto"/>
        </w:rPr>
      </w:pPr>
    </w:p>
    <w:p w14:paraId="424F0394">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40" w:lineRule="exact"/>
        <w:ind w:left="0" w:leftChars="0" w:right="0" w:firstLine="0" w:firstLineChars="0"/>
        <w:jc w:val="both"/>
        <w:textAlignment w:val="auto"/>
        <w:rPr>
          <w:rFonts w:hint="eastAsia" w:ascii="仿宋" w:hAnsi="仿宋" w:eastAsia="仿宋" w:cs="仿宋"/>
          <w:sz w:val="28"/>
          <w:szCs w:val="28"/>
          <w:lang w:eastAsia="zh-CN"/>
        </w:rPr>
      </w:pPr>
      <w:r>
        <w:rPr>
          <w:rFonts w:hint="eastAsia" w:ascii="仿宋" w:hAnsi="仿宋" w:eastAsia="仿宋" w:cs="仿宋"/>
          <w:color w:val="000000"/>
          <w:spacing w:val="0"/>
          <w:w w:val="100"/>
          <w:position w:val="0"/>
          <w:sz w:val="28"/>
          <w:szCs w:val="28"/>
          <w:shd w:val="clear" w:color="auto" w:fill="auto"/>
        </w:rPr>
        <w:t>说明：1、所采购</w:t>
      </w:r>
      <w:r>
        <w:rPr>
          <w:rFonts w:hint="eastAsia" w:ascii="仿宋" w:hAnsi="仿宋" w:eastAsia="仿宋" w:cs="仿宋"/>
          <w:color w:val="000000"/>
          <w:spacing w:val="0"/>
          <w:w w:val="100"/>
          <w:position w:val="0"/>
          <w:sz w:val="28"/>
          <w:szCs w:val="28"/>
          <w:shd w:val="clear" w:color="auto" w:fill="auto"/>
          <w:lang w:eastAsia="zh-CN"/>
        </w:rPr>
        <w:t>物品</w:t>
      </w:r>
      <w:r>
        <w:rPr>
          <w:rFonts w:hint="eastAsia" w:ascii="仿宋" w:hAnsi="仿宋" w:eastAsia="仿宋" w:cs="仿宋"/>
          <w:color w:val="000000"/>
          <w:spacing w:val="0"/>
          <w:w w:val="100"/>
          <w:position w:val="0"/>
          <w:sz w:val="28"/>
          <w:szCs w:val="28"/>
          <w:shd w:val="clear" w:color="auto" w:fill="auto"/>
        </w:rPr>
        <w:t>为含税开票价格，并为</w:t>
      </w:r>
      <w:r>
        <w:rPr>
          <w:rFonts w:hint="eastAsia" w:ascii="仿宋" w:hAnsi="仿宋" w:eastAsia="仿宋" w:cs="仿宋"/>
          <w:color w:val="000000"/>
          <w:spacing w:val="0"/>
          <w:w w:val="100"/>
          <w:position w:val="0"/>
          <w:sz w:val="28"/>
          <w:szCs w:val="28"/>
          <w:shd w:val="clear" w:color="auto" w:fill="auto"/>
          <w:lang w:val="en-US" w:eastAsia="zh-CN"/>
        </w:rPr>
        <w:t>一</w:t>
      </w:r>
      <w:r>
        <w:rPr>
          <w:rFonts w:hint="eastAsia" w:ascii="仿宋" w:hAnsi="仿宋" w:eastAsia="仿宋" w:cs="仿宋"/>
          <w:color w:val="000000"/>
          <w:spacing w:val="0"/>
          <w:w w:val="100"/>
          <w:position w:val="0"/>
          <w:sz w:val="28"/>
          <w:szCs w:val="28"/>
          <w:shd w:val="clear" w:color="auto" w:fill="auto"/>
        </w:rPr>
        <w:t>次性报价</w:t>
      </w:r>
      <w:r>
        <w:rPr>
          <w:rFonts w:hint="eastAsia" w:ascii="仿宋" w:hAnsi="仿宋" w:eastAsia="仿宋" w:cs="仿宋"/>
          <w:color w:val="000000"/>
          <w:spacing w:val="0"/>
          <w:w w:val="100"/>
          <w:position w:val="0"/>
          <w:sz w:val="28"/>
          <w:szCs w:val="28"/>
          <w:shd w:val="clear" w:color="auto" w:fill="auto"/>
          <w:lang w:eastAsia="zh-CN"/>
        </w:rPr>
        <w:t>（</w:t>
      </w:r>
      <w:r>
        <w:rPr>
          <w:rFonts w:hint="eastAsia" w:ascii="仿宋" w:hAnsi="仿宋" w:eastAsia="仿宋" w:cs="仿宋"/>
          <w:color w:val="000000"/>
          <w:spacing w:val="0"/>
          <w:w w:val="100"/>
          <w:position w:val="0"/>
          <w:sz w:val="28"/>
          <w:szCs w:val="28"/>
          <w:shd w:val="clear" w:color="auto" w:fill="auto"/>
          <w:lang w:val="en-US" w:eastAsia="zh-CN"/>
        </w:rPr>
        <w:t>含运输、</w:t>
      </w:r>
      <w:r>
        <w:rPr>
          <w:rFonts w:hint="eastAsia" w:ascii="仿宋" w:hAnsi="仿宋" w:eastAsia="仿宋" w:cs="仿宋"/>
          <w:color w:val="000000"/>
          <w:spacing w:val="0"/>
          <w:w w:val="100"/>
          <w:position w:val="0"/>
          <w:sz w:val="28"/>
          <w:szCs w:val="28"/>
          <w:shd w:val="clear" w:color="auto" w:fill="auto"/>
        </w:rPr>
        <w:t>装卸</w:t>
      </w:r>
      <w:r>
        <w:rPr>
          <w:rFonts w:hint="eastAsia" w:ascii="仿宋" w:hAnsi="仿宋" w:eastAsia="仿宋" w:cs="仿宋"/>
          <w:color w:val="000000"/>
          <w:spacing w:val="0"/>
          <w:w w:val="100"/>
          <w:position w:val="0"/>
          <w:sz w:val="28"/>
          <w:szCs w:val="28"/>
          <w:shd w:val="clear" w:color="auto" w:fill="auto"/>
          <w:lang w:eastAsia="zh-CN"/>
        </w:rPr>
        <w:t>、</w:t>
      </w:r>
      <w:r>
        <w:rPr>
          <w:rFonts w:hint="eastAsia" w:ascii="仿宋" w:hAnsi="仿宋" w:eastAsia="仿宋" w:cs="仿宋"/>
          <w:color w:val="000000"/>
          <w:spacing w:val="0"/>
          <w:w w:val="100"/>
          <w:position w:val="0"/>
          <w:sz w:val="28"/>
          <w:szCs w:val="28"/>
          <w:shd w:val="clear" w:color="auto" w:fill="auto"/>
        </w:rPr>
        <w:t>发放</w:t>
      </w:r>
      <w:r>
        <w:rPr>
          <w:rFonts w:hint="eastAsia" w:ascii="仿宋" w:hAnsi="仿宋" w:eastAsia="仿宋" w:cs="仿宋"/>
          <w:color w:val="000000"/>
          <w:spacing w:val="0"/>
          <w:w w:val="100"/>
          <w:position w:val="0"/>
          <w:sz w:val="28"/>
          <w:szCs w:val="28"/>
          <w:shd w:val="clear" w:color="auto" w:fill="auto"/>
          <w:lang w:eastAsia="zh-CN"/>
        </w:rPr>
        <w:t>、</w:t>
      </w:r>
      <w:r>
        <w:rPr>
          <w:rFonts w:hint="eastAsia" w:ascii="仿宋" w:hAnsi="仿宋" w:eastAsia="仿宋" w:cs="仿宋"/>
          <w:color w:val="000000"/>
          <w:spacing w:val="0"/>
          <w:w w:val="100"/>
          <w:position w:val="0"/>
          <w:sz w:val="28"/>
          <w:szCs w:val="28"/>
          <w:shd w:val="clear" w:color="auto" w:fill="auto"/>
        </w:rPr>
        <w:t>售后服务</w:t>
      </w:r>
      <w:r>
        <w:rPr>
          <w:rFonts w:hint="eastAsia" w:ascii="仿宋" w:hAnsi="仿宋" w:eastAsia="仿宋" w:cs="仿宋"/>
          <w:color w:val="000000"/>
          <w:spacing w:val="0"/>
          <w:w w:val="100"/>
          <w:position w:val="0"/>
          <w:sz w:val="28"/>
          <w:szCs w:val="28"/>
          <w:shd w:val="clear" w:color="auto" w:fill="auto"/>
          <w:lang w:val="en-US" w:eastAsia="zh-CN"/>
        </w:rPr>
        <w:t>等一切费用</w:t>
      </w:r>
      <w:r>
        <w:rPr>
          <w:rFonts w:hint="eastAsia" w:ascii="仿宋" w:hAnsi="仿宋" w:eastAsia="仿宋" w:cs="仿宋"/>
          <w:color w:val="000000"/>
          <w:spacing w:val="0"/>
          <w:w w:val="100"/>
          <w:position w:val="0"/>
          <w:sz w:val="28"/>
          <w:szCs w:val="28"/>
          <w:shd w:val="clear" w:color="auto" w:fill="auto"/>
          <w:lang w:eastAsia="zh-CN"/>
        </w:rPr>
        <w:t>）</w:t>
      </w:r>
      <w:r>
        <w:rPr>
          <w:rFonts w:hint="eastAsia" w:ascii="仿宋" w:hAnsi="仿宋" w:eastAsia="仿宋" w:cs="仿宋"/>
          <w:color w:val="000000"/>
          <w:spacing w:val="0"/>
          <w:w w:val="100"/>
          <w:position w:val="0"/>
          <w:sz w:val="28"/>
          <w:szCs w:val="28"/>
          <w:shd w:val="clear" w:color="auto" w:fill="auto"/>
          <w:lang w:val="en-US" w:eastAsia="zh-CN"/>
        </w:rPr>
        <w:t>；</w:t>
      </w:r>
    </w:p>
    <w:p w14:paraId="574DEDC7">
      <w:pPr>
        <w:pStyle w:val="9"/>
        <w:keepNext w:val="0"/>
        <w:keepLines w:val="0"/>
        <w:pageBreakBefore w:val="0"/>
        <w:widowControl w:val="0"/>
        <w:shd w:val="clear" w:color="auto" w:fill="auto"/>
        <w:tabs>
          <w:tab w:val="left" w:pos="1131"/>
        </w:tabs>
        <w:kinsoku/>
        <w:wordWrap/>
        <w:overflowPunct/>
        <w:topLinePunct w:val="0"/>
        <w:autoSpaceDE/>
        <w:autoSpaceDN/>
        <w:bidi w:val="0"/>
        <w:adjustRightInd/>
        <w:snapToGrid/>
        <w:spacing w:before="0" w:after="0" w:line="440" w:lineRule="exact"/>
        <w:ind w:right="0"/>
        <w:jc w:val="both"/>
        <w:textAlignment w:val="auto"/>
        <w:rPr>
          <w:rFonts w:hint="eastAsia" w:ascii="仿宋" w:hAnsi="仿宋" w:eastAsia="仿宋" w:cs="仿宋"/>
          <w:sz w:val="28"/>
          <w:szCs w:val="28"/>
          <w:lang w:eastAsia="zh-CN"/>
        </w:rPr>
      </w:pPr>
      <w:r>
        <w:rPr>
          <w:rFonts w:hint="eastAsia" w:ascii="仿宋" w:hAnsi="仿宋" w:eastAsia="仿宋" w:cs="仿宋"/>
          <w:color w:val="000000"/>
          <w:spacing w:val="0"/>
          <w:w w:val="100"/>
          <w:position w:val="0"/>
          <w:sz w:val="28"/>
          <w:szCs w:val="28"/>
          <w:shd w:val="clear" w:color="auto" w:fill="auto"/>
        </w:rPr>
        <w:t>2、所供产品规格及质</w:t>
      </w:r>
      <w:r>
        <w:rPr>
          <w:rFonts w:hint="eastAsia" w:ascii="仿宋" w:hAnsi="仿宋" w:eastAsia="仿宋" w:cs="仿宋"/>
          <w:color w:val="000000"/>
          <w:spacing w:val="0"/>
          <w:w w:val="100"/>
          <w:position w:val="0"/>
          <w:sz w:val="28"/>
          <w:szCs w:val="28"/>
          <w:shd w:val="clear" w:color="auto" w:fill="auto"/>
          <w:lang w:val="en-US" w:eastAsia="zh-CN"/>
        </w:rPr>
        <w:t>量</w:t>
      </w:r>
      <w:r>
        <w:rPr>
          <w:rFonts w:hint="eastAsia" w:ascii="仿宋" w:hAnsi="仿宋" w:eastAsia="仿宋" w:cs="仿宋"/>
          <w:color w:val="000000"/>
          <w:spacing w:val="0"/>
          <w:w w:val="100"/>
          <w:position w:val="0"/>
          <w:sz w:val="28"/>
          <w:szCs w:val="28"/>
          <w:shd w:val="clear" w:color="auto" w:fill="auto"/>
        </w:rPr>
        <w:t>应达到国家</w:t>
      </w:r>
      <w:r>
        <w:rPr>
          <w:rFonts w:hint="eastAsia" w:ascii="仿宋" w:hAnsi="仿宋" w:eastAsia="仿宋" w:cs="仿宋"/>
          <w:color w:val="000000"/>
          <w:spacing w:val="0"/>
          <w:w w:val="100"/>
          <w:position w:val="0"/>
          <w:sz w:val="28"/>
          <w:szCs w:val="28"/>
          <w:shd w:val="clear" w:color="auto" w:fill="auto"/>
          <w:lang w:val="en-US" w:eastAsia="zh-CN"/>
        </w:rPr>
        <w:t>合格</w:t>
      </w:r>
      <w:r>
        <w:rPr>
          <w:rFonts w:hint="eastAsia" w:ascii="仿宋" w:hAnsi="仿宋" w:eastAsia="仿宋" w:cs="仿宋"/>
          <w:color w:val="000000"/>
          <w:spacing w:val="0"/>
          <w:w w:val="100"/>
          <w:position w:val="0"/>
          <w:sz w:val="28"/>
          <w:szCs w:val="28"/>
          <w:shd w:val="clear" w:color="auto" w:fill="auto"/>
        </w:rPr>
        <w:t>标准</w:t>
      </w:r>
      <w:r>
        <w:rPr>
          <w:rFonts w:hint="eastAsia" w:ascii="仿宋" w:hAnsi="仿宋" w:eastAsia="仿宋" w:cs="仿宋"/>
          <w:color w:val="000000"/>
          <w:spacing w:val="0"/>
          <w:w w:val="100"/>
          <w:position w:val="0"/>
          <w:sz w:val="28"/>
          <w:szCs w:val="28"/>
          <w:shd w:val="clear" w:color="auto" w:fill="auto"/>
          <w:lang w:val="en-US" w:eastAsia="zh-CN"/>
        </w:rPr>
        <w:t>；</w:t>
      </w:r>
    </w:p>
    <w:p w14:paraId="676666C8">
      <w:pPr>
        <w:pStyle w:val="9"/>
        <w:keepNext w:val="0"/>
        <w:keepLines w:val="0"/>
        <w:pageBreakBefore w:val="0"/>
        <w:widowControl w:val="0"/>
        <w:shd w:val="clear" w:color="auto" w:fill="auto"/>
        <w:tabs>
          <w:tab w:val="left" w:pos="1150"/>
        </w:tabs>
        <w:kinsoku/>
        <w:wordWrap/>
        <w:overflowPunct/>
        <w:topLinePunct w:val="0"/>
        <w:autoSpaceDE/>
        <w:autoSpaceDN/>
        <w:bidi w:val="0"/>
        <w:adjustRightInd/>
        <w:snapToGrid/>
        <w:spacing w:before="0" w:after="0" w:line="440" w:lineRule="exact"/>
        <w:ind w:right="0"/>
        <w:jc w:val="both"/>
        <w:textAlignment w:val="auto"/>
        <w:rPr>
          <w:rFonts w:hint="default" w:ascii="仿宋" w:hAnsi="仿宋" w:eastAsia="仿宋" w:cs="仿宋"/>
          <w:sz w:val="28"/>
          <w:szCs w:val="28"/>
          <w:lang w:val="en-US" w:eastAsia="zh-CN"/>
        </w:rPr>
      </w:pPr>
      <w:r>
        <w:rPr>
          <w:rFonts w:hint="eastAsia" w:ascii="仿宋" w:hAnsi="仿宋" w:eastAsia="仿宋" w:cs="仿宋"/>
          <w:color w:val="000000"/>
          <w:spacing w:val="0"/>
          <w:w w:val="100"/>
          <w:position w:val="0"/>
          <w:sz w:val="28"/>
          <w:szCs w:val="28"/>
          <w:shd w:val="clear" w:color="auto" w:fill="auto"/>
        </w:rPr>
        <w:t>3、</w:t>
      </w:r>
      <w:r>
        <w:rPr>
          <w:rFonts w:hint="eastAsia" w:ascii="仿宋" w:hAnsi="仿宋" w:eastAsia="仿宋" w:cs="仿宋"/>
          <w:color w:val="000000"/>
          <w:spacing w:val="0"/>
          <w:w w:val="100"/>
          <w:position w:val="0"/>
          <w:sz w:val="28"/>
          <w:szCs w:val="28"/>
          <w:shd w:val="clear" w:color="auto" w:fill="auto"/>
          <w:lang w:val="en-US" w:eastAsia="zh-CN"/>
        </w:rPr>
        <w:t>采购报价函、营业执照复印件、《2025</w:t>
      </w:r>
      <w:bookmarkStart w:id="0" w:name="_GoBack"/>
      <w:bookmarkEnd w:id="0"/>
      <w:r>
        <w:rPr>
          <w:rFonts w:hint="eastAsia" w:ascii="仿宋" w:hAnsi="仿宋" w:eastAsia="仿宋" w:cs="仿宋"/>
          <w:color w:val="000000"/>
          <w:spacing w:val="0"/>
          <w:w w:val="100"/>
          <w:position w:val="0"/>
          <w:sz w:val="28"/>
          <w:szCs w:val="28"/>
          <w:shd w:val="clear" w:color="auto" w:fill="auto"/>
          <w:lang w:val="en-US" w:eastAsia="zh-CN"/>
        </w:rPr>
        <w:t>年河北省大中专学校学生公寓床上用品集团购买活动生产企业及产品目录》内企业证明材料</w:t>
      </w:r>
      <w:r>
        <w:rPr>
          <w:rFonts w:hint="eastAsia" w:ascii="仿宋" w:hAnsi="仿宋" w:eastAsia="仿宋" w:cs="仿宋"/>
          <w:color w:val="000000"/>
          <w:spacing w:val="0"/>
          <w:w w:val="100"/>
          <w:position w:val="0"/>
          <w:sz w:val="28"/>
          <w:szCs w:val="28"/>
          <w:shd w:val="clear" w:color="auto" w:fill="auto"/>
        </w:rPr>
        <w:t>应用信封密封</w:t>
      </w:r>
      <w:r>
        <w:rPr>
          <w:rFonts w:hint="eastAsia" w:ascii="仿宋" w:hAnsi="仿宋" w:eastAsia="仿宋" w:cs="仿宋"/>
          <w:color w:val="000000"/>
          <w:spacing w:val="0"/>
          <w:w w:val="100"/>
          <w:position w:val="0"/>
          <w:sz w:val="28"/>
          <w:szCs w:val="28"/>
          <w:shd w:val="clear" w:color="auto" w:fill="auto"/>
          <w:lang w:eastAsia="zh-CN"/>
        </w:rPr>
        <w:t>，</w:t>
      </w:r>
      <w:r>
        <w:rPr>
          <w:rFonts w:hint="eastAsia" w:ascii="仿宋" w:hAnsi="仿宋" w:eastAsia="仿宋" w:cs="仿宋"/>
          <w:color w:val="000000"/>
          <w:spacing w:val="0"/>
          <w:w w:val="100"/>
          <w:position w:val="0"/>
          <w:sz w:val="28"/>
          <w:szCs w:val="28"/>
          <w:shd w:val="clear" w:color="auto" w:fill="auto"/>
        </w:rPr>
        <w:t>并在封口处加</w:t>
      </w:r>
      <w:r>
        <w:rPr>
          <w:rFonts w:hint="eastAsia" w:ascii="仿宋" w:hAnsi="仿宋" w:eastAsia="仿宋" w:cs="仿宋"/>
          <w:color w:val="000000"/>
          <w:spacing w:val="0"/>
          <w:w w:val="100"/>
          <w:position w:val="0"/>
          <w:sz w:val="28"/>
          <w:szCs w:val="28"/>
          <w:shd w:val="clear" w:color="auto" w:fill="auto"/>
          <w:lang w:val="en-US" w:eastAsia="zh-CN"/>
        </w:rPr>
        <w:t>盖单位公章；</w:t>
      </w:r>
    </w:p>
    <w:p w14:paraId="268A6888">
      <w:pPr>
        <w:pStyle w:val="9"/>
        <w:keepNext w:val="0"/>
        <w:keepLines w:val="0"/>
        <w:pageBreakBefore w:val="0"/>
        <w:widowControl w:val="0"/>
        <w:shd w:val="clear" w:color="auto" w:fill="auto"/>
        <w:tabs>
          <w:tab w:val="left" w:pos="1122"/>
        </w:tabs>
        <w:kinsoku/>
        <w:wordWrap/>
        <w:overflowPunct/>
        <w:topLinePunct w:val="0"/>
        <w:autoSpaceDE/>
        <w:autoSpaceDN/>
        <w:bidi w:val="0"/>
        <w:adjustRightInd/>
        <w:snapToGrid/>
        <w:spacing w:before="0" w:after="0" w:line="440" w:lineRule="exact"/>
        <w:ind w:left="0" w:right="0" w:firstLine="1120" w:firstLineChars="400"/>
        <w:jc w:val="both"/>
        <w:textAlignment w:val="auto"/>
        <w:rPr>
          <w:rFonts w:hint="eastAsia" w:ascii="仿宋" w:hAnsi="仿宋" w:eastAsia="仿宋" w:cs="仿宋"/>
          <w:sz w:val="28"/>
          <w:szCs w:val="28"/>
          <w:lang w:eastAsia="zh-CN"/>
        </w:rPr>
      </w:pPr>
      <w:r>
        <w:rPr>
          <w:rFonts w:hint="eastAsia" w:ascii="仿宋" w:hAnsi="仿宋" w:eastAsia="仿宋" w:cs="仿宋"/>
          <w:color w:val="000000"/>
          <w:spacing w:val="0"/>
          <w:w w:val="100"/>
          <w:position w:val="0"/>
          <w:sz w:val="28"/>
          <w:szCs w:val="28"/>
          <w:shd w:val="clear" w:color="auto" w:fill="auto"/>
        </w:rPr>
        <w:t>4、付款方式：验收后</w:t>
      </w:r>
      <w:r>
        <w:rPr>
          <w:rFonts w:hint="eastAsia" w:ascii="仿宋" w:hAnsi="仿宋" w:eastAsia="仿宋" w:cs="仿宋"/>
          <w:color w:val="000000"/>
          <w:spacing w:val="0"/>
          <w:w w:val="100"/>
          <w:position w:val="0"/>
          <w:sz w:val="28"/>
          <w:szCs w:val="28"/>
          <w:shd w:val="clear" w:color="auto" w:fill="auto"/>
          <w:lang w:val="en-US" w:eastAsia="zh-CN"/>
        </w:rPr>
        <w:t>根据实际供货情况，据实结算</w:t>
      </w:r>
      <w:r>
        <w:rPr>
          <w:rFonts w:hint="eastAsia" w:ascii="仿宋" w:hAnsi="仿宋" w:eastAsia="仿宋" w:cs="仿宋"/>
          <w:color w:val="000000"/>
          <w:spacing w:val="0"/>
          <w:w w:val="100"/>
          <w:position w:val="0"/>
          <w:sz w:val="28"/>
          <w:szCs w:val="28"/>
          <w:shd w:val="clear" w:color="auto" w:fill="auto"/>
          <w:lang w:eastAsia="zh-CN"/>
        </w:rPr>
        <w:t>。</w:t>
      </w:r>
    </w:p>
    <w:p w14:paraId="67FC1EED">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560" w:firstLineChars="200"/>
        <w:jc w:val="both"/>
        <w:textAlignment w:val="auto"/>
        <w:rPr>
          <w:rFonts w:hint="eastAsia" w:ascii="仿宋" w:hAnsi="仿宋" w:eastAsia="仿宋" w:cs="仿宋"/>
          <w:color w:val="000000"/>
          <w:spacing w:val="0"/>
          <w:w w:val="100"/>
          <w:position w:val="0"/>
          <w:sz w:val="28"/>
          <w:szCs w:val="28"/>
          <w:shd w:val="clear" w:color="auto" w:fill="auto"/>
          <w:lang w:val="en-US" w:eastAsia="zh-CN"/>
        </w:rPr>
      </w:pPr>
    </w:p>
    <w:p w14:paraId="598C9B7C">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560" w:firstLineChars="200"/>
        <w:jc w:val="both"/>
        <w:textAlignment w:val="auto"/>
        <w:rPr>
          <w:sz w:val="28"/>
          <w:szCs w:val="28"/>
        </w:rPr>
      </w:pPr>
      <w:r>
        <w:rPr>
          <w:rFonts w:hint="eastAsia" w:ascii="仿宋" w:hAnsi="仿宋" w:eastAsia="仿宋" w:cs="仿宋"/>
          <w:color w:val="000000"/>
          <w:spacing w:val="0"/>
          <w:w w:val="100"/>
          <w:position w:val="0"/>
          <w:sz w:val="28"/>
          <w:szCs w:val="28"/>
          <w:shd w:val="clear" w:color="auto" w:fill="auto"/>
          <w:lang w:val="en-US" w:eastAsia="zh-CN"/>
        </w:rPr>
        <w:t>供应商</w:t>
      </w:r>
      <w:r>
        <w:rPr>
          <w:rFonts w:hint="eastAsia" w:ascii="仿宋" w:hAnsi="仿宋" w:eastAsia="仿宋" w:cs="仿宋"/>
          <w:color w:val="000000"/>
          <w:spacing w:val="0"/>
          <w:w w:val="100"/>
          <w:position w:val="0"/>
          <w:sz w:val="28"/>
          <w:szCs w:val="28"/>
          <w:shd w:val="clear" w:color="auto" w:fill="auto"/>
        </w:rPr>
        <w:t>全称：</w:t>
      </w:r>
      <w:r>
        <w:rPr>
          <w:rFonts w:hint="eastAsia" w:ascii="仿宋" w:hAnsi="仿宋" w:eastAsia="仿宋" w:cs="仿宋"/>
          <w:color w:val="000000"/>
          <w:spacing w:val="0"/>
          <w:w w:val="100"/>
          <w:position w:val="0"/>
          <w:sz w:val="28"/>
          <w:szCs w:val="28"/>
          <w:shd w:val="clear" w:color="auto" w:fill="auto"/>
          <w:lang w:eastAsia="zh-CN"/>
        </w:rPr>
        <w:t>（</w:t>
      </w:r>
      <w:r>
        <w:rPr>
          <w:rFonts w:hint="eastAsia" w:ascii="仿宋" w:hAnsi="仿宋" w:eastAsia="仿宋" w:cs="仿宋"/>
          <w:color w:val="000000"/>
          <w:spacing w:val="0"/>
          <w:w w:val="100"/>
          <w:position w:val="0"/>
          <w:sz w:val="28"/>
          <w:szCs w:val="28"/>
          <w:shd w:val="clear" w:color="auto" w:fill="auto"/>
          <w:lang w:val="en-US" w:eastAsia="zh-CN"/>
        </w:rPr>
        <w:t>公章</w:t>
      </w:r>
      <w:r>
        <w:rPr>
          <w:rFonts w:hint="eastAsia" w:ascii="仿宋" w:hAnsi="仿宋" w:eastAsia="仿宋" w:cs="仿宋"/>
          <w:color w:val="000000"/>
          <w:spacing w:val="0"/>
          <w:w w:val="100"/>
          <w:position w:val="0"/>
          <w:sz w:val="28"/>
          <w:szCs w:val="28"/>
          <w:shd w:val="clear" w:color="auto" w:fill="auto"/>
          <w:lang w:eastAsia="zh-CN"/>
        </w:rPr>
        <w:t>）</w:t>
      </w:r>
      <w:r>
        <w:rPr>
          <w:rFonts w:hint="eastAsia" w:ascii="仿宋" w:hAnsi="仿宋" w:eastAsia="仿宋" w:cs="仿宋"/>
          <w:color w:val="000000"/>
          <w:spacing w:val="0"/>
          <w:w w:val="100"/>
          <w:position w:val="0"/>
          <w:sz w:val="28"/>
          <w:szCs w:val="28"/>
          <w:shd w:val="clear" w:color="auto" w:fill="auto"/>
          <w:lang w:val="en-US" w:eastAsia="zh-CN"/>
        </w:rPr>
        <w:t xml:space="preserve">        </w:t>
      </w:r>
      <w:r>
        <w:rPr>
          <w:rFonts w:hint="eastAsia" w:ascii="仿宋" w:hAnsi="仿宋" w:eastAsia="仿宋" w:cs="仿宋"/>
          <w:color w:val="000000"/>
          <w:spacing w:val="0"/>
          <w:w w:val="100"/>
          <w:position w:val="0"/>
          <w:sz w:val="28"/>
          <w:szCs w:val="28"/>
          <w:shd w:val="clear" w:color="auto" w:fill="auto"/>
        </w:rPr>
        <w:t>联系人：</w:t>
      </w:r>
      <w:r>
        <w:rPr>
          <w:rFonts w:hint="eastAsia" w:ascii="仿宋" w:hAnsi="仿宋" w:eastAsia="仿宋" w:cs="仿宋"/>
          <w:color w:val="000000"/>
          <w:spacing w:val="0"/>
          <w:w w:val="100"/>
          <w:position w:val="0"/>
          <w:sz w:val="28"/>
          <w:szCs w:val="28"/>
          <w:shd w:val="clear" w:color="auto" w:fill="auto"/>
          <w:lang w:val="en-US" w:eastAsia="zh-CN"/>
        </w:rPr>
        <w:t xml:space="preserve">    </w:t>
      </w:r>
      <w:r>
        <w:rPr>
          <w:rFonts w:hint="eastAsia" w:ascii="仿宋" w:hAnsi="仿宋" w:eastAsia="仿宋" w:cs="仿宋"/>
          <w:color w:val="000000"/>
          <w:spacing w:val="0"/>
          <w:w w:val="100"/>
          <w:position w:val="0"/>
          <w:sz w:val="28"/>
          <w:szCs w:val="28"/>
          <w:shd w:val="clear" w:color="auto" w:fill="auto"/>
        </w:rPr>
        <w:t xml:space="preserve"> 联系电话：</w:t>
      </w:r>
    </w:p>
    <w:sectPr>
      <w:headerReference r:id="rId5" w:type="default"/>
      <w:footnotePr>
        <w:numFmt w:val="decimal"/>
      </w:footnotePr>
      <w:pgSz w:w="11900" w:h="16840"/>
      <w:pgMar w:top="2417" w:right="1154" w:bottom="2217" w:left="1358" w:header="1989" w:footer="1789" w:gutter="0"/>
      <w:pgNumType w:fmt="decimal"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Light">
    <w:panose1 w:val="020B0304030504040204"/>
    <w:charset w:val="88"/>
    <w:family w:val="auto"/>
    <w:pitch w:val="default"/>
    <w:sig w:usb0="800002A7" w:usb1="28CF4400" w:usb2="00000016" w:usb3="00000000" w:csb0="00100009" w:csb1="00000000"/>
  </w:font>
  <w:font w:name="MingLiU">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B2F00">
    <w:pPr>
      <w:pStyle w:val="3"/>
      <w:rPr>
        <w:rFonts w:hint="default" w:eastAsia="宋体"/>
        <w:sz w:val="21"/>
        <w:szCs w:val="21"/>
        <w:lang w:val="en-US" w:eastAsia="zh-CN"/>
      </w:rPr>
    </w:pPr>
    <w:r>
      <w:rPr>
        <w:sz w:val="21"/>
        <w:szCs w:val="21"/>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A58464">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6A58464">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eastAsia="宋体"/>
        <w:sz w:val="21"/>
        <w:szCs w:val="21"/>
        <w:lang w:val="en-US" w:eastAsia="zh-CN"/>
      </w:rPr>
      <w:t>附件2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lZTc2NTViODcwYzViOTBjYWFlZTYxYmI2NjhlMjUifQ=="/>
  </w:docVars>
  <w:rsids>
    <w:rsidRoot w:val="6FFA70CA"/>
    <w:rsid w:val="03D96696"/>
    <w:rsid w:val="050842EA"/>
    <w:rsid w:val="0AF74EC2"/>
    <w:rsid w:val="0B3529C3"/>
    <w:rsid w:val="150333A7"/>
    <w:rsid w:val="16397E8D"/>
    <w:rsid w:val="176602CE"/>
    <w:rsid w:val="1B4F36EE"/>
    <w:rsid w:val="1B9A25C0"/>
    <w:rsid w:val="1C0F0BF9"/>
    <w:rsid w:val="1CA2758D"/>
    <w:rsid w:val="1FFC12EA"/>
    <w:rsid w:val="21941E6E"/>
    <w:rsid w:val="233B6EE6"/>
    <w:rsid w:val="24562FA8"/>
    <w:rsid w:val="2C29790B"/>
    <w:rsid w:val="2EF1305F"/>
    <w:rsid w:val="37207F96"/>
    <w:rsid w:val="37F25055"/>
    <w:rsid w:val="3880089D"/>
    <w:rsid w:val="3DFA3DD6"/>
    <w:rsid w:val="405759DA"/>
    <w:rsid w:val="441F577B"/>
    <w:rsid w:val="48011AF1"/>
    <w:rsid w:val="4F2052BC"/>
    <w:rsid w:val="523C1897"/>
    <w:rsid w:val="57D904F1"/>
    <w:rsid w:val="5AEC7FA2"/>
    <w:rsid w:val="5B0B3E3E"/>
    <w:rsid w:val="5F2F0120"/>
    <w:rsid w:val="60040543"/>
    <w:rsid w:val="62EA39FE"/>
    <w:rsid w:val="6F042752"/>
    <w:rsid w:val="6FFA70CA"/>
    <w:rsid w:val="75C24A34"/>
    <w:rsid w:val="76F34F9E"/>
    <w:rsid w:val="7792689D"/>
    <w:rsid w:val="79465CB1"/>
    <w:rsid w:val="7E3A5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Microsoft JhengHei Light" w:hAnsi="Microsoft JhengHei Light" w:eastAsia="Microsoft JhengHei Light" w:cs="Microsoft JhengHei Light"/>
      <w:color w:val="000000"/>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正文文本 (2)"/>
    <w:basedOn w:val="1"/>
    <w:qFormat/>
    <w:uiPriority w:val="0"/>
    <w:pPr>
      <w:widowControl w:val="0"/>
      <w:shd w:val="clear" w:color="auto" w:fill="FFFFFF"/>
      <w:jc w:val="center"/>
    </w:pPr>
    <w:rPr>
      <w:rFonts w:ascii="MingLiU" w:hAnsi="MingLiU" w:eastAsia="MingLiU" w:cs="MingLiU"/>
      <w:sz w:val="48"/>
      <w:szCs w:val="48"/>
      <w:u w:val="none"/>
      <w:lang w:val="zh-CN" w:eastAsia="zh-CN" w:bidi="zh-CN"/>
    </w:rPr>
  </w:style>
  <w:style w:type="paragraph" w:customStyle="1" w:styleId="7">
    <w:name w:val="正文文本1"/>
    <w:basedOn w:val="1"/>
    <w:qFormat/>
    <w:uiPriority w:val="0"/>
    <w:pPr>
      <w:widowControl w:val="0"/>
      <w:shd w:val="clear" w:color="auto" w:fill="FFFFFF"/>
      <w:spacing w:line="300" w:lineRule="auto"/>
    </w:pPr>
    <w:rPr>
      <w:rFonts w:ascii="MingLiU" w:hAnsi="MingLiU" w:eastAsia="MingLiU" w:cs="MingLiU"/>
      <w:sz w:val="30"/>
      <w:szCs w:val="30"/>
      <w:u w:val="none"/>
      <w:lang w:val="zh-CN" w:eastAsia="zh-CN" w:bidi="zh-CN"/>
    </w:rPr>
  </w:style>
  <w:style w:type="paragraph" w:customStyle="1" w:styleId="8">
    <w:name w:val="其他"/>
    <w:basedOn w:val="1"/>
    <w:qFormat/>
    <w:uiPriority w:val="0"/>
    <w:pPr>
      <w:widowControl w:val="0"/>
      <w:shd w:val="clear" w:color="auto" w:fill="FFFFFF"/>
      <w:spacing w:line="300" w:lineRule="auto"/>
    </w:pPr>
    <w:rPr>
      <w:rFonts w:ascii="MingLiU" w:hAnsi="MingLiU" w:eastAsia="MingLiU" w:cs="MingLiU"/>
      <w:sz w:val="30"/>
      <w:szCs w:val="30"/>
      <w:u w:val="none"/>
      <w:lang w:val="zh-CN" w:eastAsia="zh-CN" w:bidi="zh-CN"/>
    </w:rPr>
  </w:style>
  <w:style w:type="paragraph" w:customStyle="1" w:styleId="9">
    <w:name w:val="表格标题"/>
    <w:basedOn w:val="1"/>
    <w:qFormat/>
    <w:uiPriority w:val="0"/>
    <w:pPr>
      <w:widowControl w:val="0"/>
      <w:shd w:val="clear" w:color="auto" w:fill="FFFFFF"/>
      <w:spacing w:after="120" w:line="252" w:lineRule="auto"/>
      <w:ind w:left="360" w:firstLine="390"/>
    </w:pPr>
    <w:rPr>
      <w:rFonts w:ascii="MingLiU" w:hAnsi="MingLiU" w:eastAsia="MingLiU" w:cs="MingLiU"/>
      <w:sz w:val="26"/>
      <w:szCs w:val="26"/>
      <w:u w:val="none"/>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305</Words>
  <Characters>320</Characters>
  <Lines>0</Lines>
  <Paragraphs>0</Paragraphs>
  <TotalTime>1</TotalTime>
  <ScaleCrop>false</ScaleCrop>
  <LinksUpToDate>false</LinksUpToDate>
  <CharactersWithSpaces>402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2022-08-19T03:29:00Z</dcterms:created>
  <dc:creator>忍</dc:creator>
  <cp:lastModifiedBy>亲切家族</cp:lastModifiedBy>
  <dcterms:modified xsi:type="dcterms:W3CDTF">2025-09-18T03:26:00Z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4168446C1A5C4714904DD8F56EDA9787</vt:lpwstr>
  </property>
  <property fmtid="{D5CDD505-2E9C-101B-9397-08002B2CF9AE}" pid="4" name="KSOTemplateDocerSaveRecord">
    <vt:lpwstr>eyJoZGlkIjoiZGQwZmY3NzA5YjEwNzQwYTc4MjM1NGUxODdjOTRkZDUiLCJ1c2VySWQiOiIyOTQ2NDI1MDQifQ==</vt:lpwstr>
  </property>
</Properties>
</file>